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18B5" w14:textId="3B0DA210" w:rsidR="00AB004C" w:rsidRDefault="00A06A44" w:rsidP="003E0B12">
      <w:pPr>
        <w:snapToGrid w:val="0"/>
        <w:spacing w:after="0" w:line="240" w:lineRule="auto"/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</w:pPr>
      <w:r w:rsidRPr="003E0B12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 xml:space="preserve">Sino-German </w:t>
      </w:r>
      <w:r w:rsidR="008A7C9B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 xml:space="preserve">Expert Dialogues on </w:t>
      </w:r>
      <w:r w:rsidRPr="003E0B12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Sustainable Finance</w:t>
      </w:r>
      <w:r w:rsidR="00801C35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 xml:space="preserve"> Products and Practices</w:t>
      </w:r>
      <w:r w:rsidRPr="003E0B12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 xml:space="preserve"> </w:t>
      </w:r>
      <w:r w:rsidR="00801C35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br/>
      </w:r>
      <w:r w:rsidR="00463ABB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3</w:t>
      </w:r>
      <w:r w:rsidR="00463ABB" w:rsidRPr="00463ABB">
        <w:rPr>
          <w:rFonts w:eastAsia="DengXian" w:cstheme="minorHAnsi"/>
          <w:b/>
          <w:bCs/>
          <w:color w:val="595959" w:themeColor="text1" w:themeTint="A6"/>
          <w:sz w:val="24"/>
          <w:szCs w:val="24"/>
          <w:vertAlign w:val="superscript"/>
          <w:lang w:val="en-GB"/>
        </w:rPr>
        <w:t>rd</w:t>
      </w:r>
      <w:r w:rsidR="00AB004C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 xml:space="preserve"> Workshop – Sustainable Equity Products and Sustainability Disclosures</w:t>
      </w:r>
      <w:r w:rsidR="00DC4AC6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br/>
      </w:r>
    </w:p>
    <w:p w14:paraId="4BF66BF1" w14:textId="572BA12D" w:rsidR="00FF761E" w:rsidRPr="003E0B12" w:rsidRDefault="00801C35" w:rsidP="003E0B12">
      <w:pPr>
        <w:snapToGrid w:val="0"/>
        <w:spacing w:after="0" w:line="240" w:lineRule="auto"/>
        <w:rPr>
          <w:rFonts w:eastAsia="DengXian"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October 16</w:t>
      </w:r>
      <w:r w:rsidR="00DC4AC6" w:rsidRPr="00DC4AC6">
        <w:rPr>
          <w:rFonts w:eastAsia="DengXian" w:cstheme="minorHAnsi"/>
          <w:b/>
          <w:bCs/>
          <w:color w:val="595959" w:themeColor="text1" w:themeTint="A6"/>
          <w:sz w:val="24"/>
          <w:szCs w:val="24"/>
          <w:vertAlign w:val="superscript"/>
          <w:lang w:val="en-GB"/>
        </w:rPr>
        <w:t>th</w:t>
      </w:r>
      <w:r w:rsidR="00DC4AC6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, 202</w:t>
      </w:r>
      <w:r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4</w:t>
      </w:r>
      <w:r w:rsidR="00DC4AC6">
        <w:rPr>
          <w:rFonts w:eastAsia="DengXian" w:cstheme="minorHAnsi"/>
          <w:b/>
          <w:bCs/>
          <w:color w:val="595959" w:themeColor="text1" w:themeTint="A6"/>
          <w:sz w:val="24"/>
          <w:szCs w:val="24"/>
          <w:lang w:val="en-GB"/>
        </w:rPr>
        <w:t>, Frankfurt School of Finance &amp; M</w:t>
      </w:r>
    </w:p>
    <w:p w14:paraId="05B1DB41" w14:textId="77777777" w:rsidR="00DC4AC6" w:rsidRDefault="00DC4AC6" w:rsidP="003E0B12">
      <w:pPr>
        <w:snapToGrid w:val="0"/>
        <w:spacing w:before="40" w:after="40" w:line="240" w:lineRule="auto"/>
        <w:rPr>
          <w:rFonts w:eastAsia="DengXian" w:cstheme="minorHAnsi"/>
          <w:color w:val="595959" w:themeColor="text1" w:themeTint="A6"/>
          <w:sz w:val="24"/>
          <w:szCs w:val="24"/>
        </w:rPr>
      </w:pPr>
    </w:p>
    <w:p w14:paraId="66B6F636" w14:textId="01CD372C" w:rsidR="00756325" w:rsidRPr="003E0B12" w:rsidRDefault="00ED1842" w:rsidP="003E0B12">
      <w:pPr>
        <w:snapToGrid w:val="0"/>
        <w:spacing w:before="40" w:after="40" w:line="240" w:lineRule="auto"/>
        <w:rPr>
          <w:rFonts w:eastAsia="DengXian" w:cstheme="minorHAnsi"/>
          <w:color w:val="595959" w:themeColor="text1" w:themeTint="A6"/>
          <w:sz w:val="24"/>
          <w:szCs w:val="24"/>
        </w:rPr>
      </w:pPr>
      <w:r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The Sino-German Center </w:t>
      </w:r>
      <w:r w:rsidR="00171183">
        <w:rPr>
          <w:rFonts w:eastAsia="DengXian" w:cstheme="minorHAnsi"/>
          <w:color w:val="595959" w:themeColor="text1" w:themeTint="A6"/>
          <w:sz w:val="24"/>
          <w:szCs w:val="24"/>
        </w:rPr>
        <w:t>co-</w:t>
      </w:r>
      <w:r w:rsidRPr="003E0B12">
        <w:rPr>
          <w:rFonts w:eastAsia="DengXian" w:cstheme="minorHAnsi"/>
          <w:color w:val="595959" w:themeColor="text1" w:themeTint="A6"/>
          <w:sz w:val="24"/>
          <w:szCs w:val="24"/>
        </w:rPr>
        <w:t>hos</w:t>
      </w:r>
      <w:r w:rsidR="00A8721C"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ted </w:t>
      </w:r>
      <w:r w:rsidR="00E54D67">
        <w:rPr>
          <w:rFonts w:eastAsia="DengXian" w:cstheme="minorHAnsi"/>
          <w:color w:val="595959" w:themeColor="text1" w:themeTint="A6"/>
          <w:sz w:val="24"/>
          <w:szCs w:val="24"/>
        </w:rPr>
        <w:t>the 3</w:t>
      </w:r>
      <w:r w:rsidR="00E54D67" w:rsidRPr="00E54D67">
        <w:rPr>
          <w:rFonts w:eastAsia="DengXian" w:cstheme="minorHAnsi"/>
          <w:color w:val="595959" w:themeColor="text1" w:themeTint="A6"/>
          <w:sz w:val="24"/>
          <w:szCs w:val="24"/>
          <w:vertAlign w:val="superscript"/>
        </w:rPr>
        <w:t>rd</w:t>
      </w:r>
      <w:r w:rsidR="00E54D67">
        <w:rPr>
          <w:rFonts w:eastAsia="DengXian" w:cstheme="minorHAnsi"/>
          <w:color w:val="595959" w:themeColor="text1" w:themeTint="A6"/>
          <w:sz w:val="24"/>
          <w:szCs w:val="24"/>
        </w:rPr>
        <w:t xml:space="preserve"> workshop</w:t>
      </w:r>
      <w:r w:rsidR="00171183">
        <w:rPr>
          <w:rFonts w:eastAsia="DengXian" w:cstheme="minorHAnsi"/>
          <w:color w:val="595959" w:themeColor="text1" w:themeTint="A6"/>
          <w:sz w:val="24"/>
          <w:szCs w:val="24"/>
        </w:rPr>
        <w:t xml:space="preserve"> of the Sino-German Expert Dialogues on Sustainable Finance Products and Practices</w:t>
      </w:r>
      <w:r w:rsidR="002E5F4C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  <w:r w:rsidR="00A8721C" w:rsidRPr="003E0B12">
        <w:rPr>
          <w:rFonts w:eastAsia="DengXian" w:cstheme="minorHAnsi"/>
          <w:color w:val="595959" w:themeColor="text1" w:themeTint="A6"/>
          <w:sz w:val="24"/>
          <w:szCs w:val="24"/>
        </w:rPr>
        <w:t>jointly</w:t>
      </w:r>
      <w:r w:rsidR="00B53A8D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  <w:r w:rsidR="00A8721C"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with </w:t>
      </w:r>
      <w:r w:rsidR="006625B8" w:rsidRPr="003E0B12">
        <w:rPr>
          <w:rFonts w:eastAsia="DengXian" w:cstheme="minorHAnsi"/>
          <w:color w:val="595959" w:themeColor="text1" w:themeTint="A6"/>
          <w:sz w:val="24"/>
          <w:szCs w:val="24"/>
        </w:rPr>
        <w:t>GIZ</w:t>
      </w:r>
      <w:r w:rsidR="00B53A8D">
        <w:rPr>
          <w:rFonts w:eastAsia="DengXian" w:cstheme="minorHAnsi"/>
          <w:color w:val="595959" w:themeColor="text1" w:themeTint="A6"/>
          <w:sz w:val="24"/>
          <w:szCs w:val="24"/>
        </w:rPr>
        <w:t>,</w:t>
      </w:r>
      <w:r w:rsidR="006625B8"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 the </w:t>
      </w:r>
      <w:r w:rsidR="00A06A44" w:rsidRPr="003E0B12">
        <w:rPr>
          <w:rFonts w:eastAsia="DengXian" w:cstheme="minorHAnsi"/>
          <w:color w:val="595959" w:themeColor="text1" w:themeTint="A6"/>
          <w:sz w:val="24"/>
          <w:szCs w:val="24"/>
        </w:rPr>
        <w:t>Climate Investment and Finance Association</w:t>
      </w:r>
      <w:r w:rsidR="00746CD9">
        <w:rPr>
          <w:rFonts w:eastAsia="DengXian" w:cstheme="minorHAnsi"/>
          <w:color w:val="595959" w:themeColor="text1" w:themeTint="A6"/>
          <w:sz w:val="24"/>
          <w:szCs w:val="24"/>
        </w:rPr>
        <w:t xml:space="preserve"> of China Society for Environment and Science (CIFA)</w:t>
      </w:r>
      <w:r w:rsidR="00247C26">
        <w:rPr>
          <w:rFonts w:eastAsia="DengXian" w:cstheme="minorHAnsi"/>
          <w:color w:val="595959" w:themeColor="text1" w:themeTint="A6"/>
          <w:sz w:val="24"/>
          <w:szCs w:val="24"/>
        </w:rPr>
        <w:t xml:space="preserve">, the </w:t>
      </w:r>
      <w:r w:rsidR="00C758C4">
        <w:rPr>
          <w:rFonts w:eastAsia="DengXian" w:cstheme="minorHAnsi"/>
          <w:color w:val="595959" w:themeColor="text1" w:themeTint="A6"/>
          <w:sz w:val="24"/>
          <w:szCs w:val="24"/>
        </w:rPr>
        <w:t xml:space="preserve">Institute of Finance and Sustainability </w:t>
      </w:r>
      <w:r w:rsidR="00607590">
        <w:rPr>
          <w:rFonts w:eastAsia="DengXian" w:cstheme="minorHAnsi"/>
          <w:color w:val="595959" w:themeColor="text1" w:themeTint="A6"/>
          <w:sz w:val="24"/>
          <w:szCs w:val="24"/>
        </w:rPr>
        <w:t xml:space="preserve">(IFS),and </w:t>
      </w:r>
      <w:r w:rsidR="00B203FB">
        <w:rPr>
          <w:rFonts w:eastAsia="DengXian" w:cstheme="minorHAnsi"/>
          <w:color w:val="595959" w:themeColor="text1" w:themeTint="A6"/>
          <w:sz w:val="24"/>
          <w:szCs w:val="24"/>
        </w:rPr>
        <w:t xml:space="preserve">climate </w:t>
      </w:r>
      <w:r w:rsidR="00C758C4">
        <w:rPr>
          <w:rFonts w:eastAsia="DengXian" w:cstheme="minorHAnsi"/>
          <w:color w:val="595959" w:themeColor="text1" w:themeTint="A6"/>
          <w:sz w:val="24"/>
          <w:szCs w:val="24"/>
        </w:rPr>
        <w:t xml:space="preserve">&amp; </w:t>
      </w:r>
      <w:r w:rsidR="00B203FB">
        <w:rPr>
          <w:rFonts w:eastAsia="DengXian" w:cstheme="minorHAnsi"/>
          <w:color w:val="595959" w:themeColor="text1" w:themeTint="A6"/>
          <w:sz w:val="24"/>
          <w:szCs w:val="24"/>
        </w:rPr>
        <w:t>company</w:t>
      </w:r>
      <w:r w:rsidR="001C461E">
        <w:rPr>
          <w:rFonts w:eastAsia="DengXian" w:cstheme="minorHAnsi"/>
          <w:color w:val="595959" w:themeColor="text1" w:themeTint="A6"/>
          <w:sz w:val="24"/>
          <w:szCs w:val="24"/>
        </w:rPr>
        <w:t xml:space="preserve"> on October 16</w:t>
      </w:r>
      <w:r w:rsidR="001C461E" w:rsidRPr="001C461E">
        <w:rPr>
          <w:rFonts w:eastAsia="DengXian" w:cstheme="minorHAnsi"/>
          <w:color w:val="595959" w:themeColor="text1" w:themeTint="A6"/>
          <w:sz w:val="24"/>
          <w:szCs w:val="24"/>
          <w:vertAlign w:val="superscript"/>
        </w:rPr>
        <w:t>th</w:t>
      </w:r>
      <w:r w:rsidR="001C461E">
        <w:rPr>
          <w:rFonts w:eastAsia="DengXian" w:cstheme="minorHAnsi"/>
          <w:color w:val="595959" w:themeColor="text1" w:themeTint="A6"/>
          <w:sz w:val="24"/>
          <w:szCs w:val="24"/>
        </w:rPr>
        <w:t xml:space="preserve"> at Frankfurt School</w:t>
      </w:r>
      <w:r w:rsidR="000A32D5" w:rsidRPr="003E0B12">
        <w:rPr>
          <w:rFonts w:eastAsia="DengXian" w:cstheme="minorHAnsi"/>
          <w:color w:val="595959" w:themeColor="text1" w:themeTint="A6"/>
          <w:sz w:val="24"/>
          <w:szCs w:val="24"/>
        </w:rPr>
        <w:t>.</w:t>
      </w:r>
      <w:r w:rsidR="001C461E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  <w:r w:rsidR="00756325"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</w:p>
    <w:p w14:paraId="28F8087A" w14:textId="77777777" w:rsidR="003650B2" w:rsidRPr="003E0B12" w:rsidRDefault="003650B2" w:rsidP="003E0B12">
      <w:pPr>
        <w:snapToGrid w:val="0"/>
        <w:spacing w:before="40" w:after="40" w:line="240" w:lineRule="auto"/>
        <w:rPr>
          <w:rFonts w:eastAsia="DengXian" w:cstheme="minorHAnsi"/>
          <w:color w:val="595959" w:themeColor="text1" w:themeTint="A6"/>
          <w:sz w:val="24"/>
          <w:szCs w:val="24"/>
        </w:rPr>
      </w:pPr>
    </w:p>
    <w:p w14:paraId="103E6AF0" w14:textId="570F46BA" w:rsidR="00794F27" w:rsidRDefault="00493D81" w:rsidP="00E36DC0">
      <w:pPr>
        <w:pStyle w:val="ListParagraph1"/>
        <w:spacing w:before="40" w:after="40"/>
        <w:ind w:left="0"/>
        <w:rPr>
          <w:rFonts w:eastAsia="DengXian" w:cstheme="minorHAnsi"/>
          <w:color w:val="595959" w:themeColor="text1" w:themeTint="A6"/>
          <w:sz w:val="24"/>
          <w:szCs w:val="24"/>
        </w:rPr>
      </w:pPr>
      <w:r>
        <w:rPr>
          <w:rFonts w:eastAsia="DengXian" w:cstheme="minorHAnsi"/>
          <w:color w:val="595959" w:themeColor="text1" w:themeTint="A6"/>
          <w:sz w:val="24"/>
          <w:szCs w:val="24"/>
        </w:rPr>
        <w:t>T</w:t>
      </w:r>
      <w:r w:rsidR="00794F27" w:rsidRPr="00794F27">
        <w:rPr>
          <w:rFonts w:eastAsia="DengXian" w:cstheme="minorHAnsi"/>
          <w:color w:val="595959" w:themeColor="text1" w:themeTint="A6"/>
          <w:sz w:val="24"/>
          <w:szCs w:val="24"/>
        </w:rPr>
        <w:t>he</w:t>
      </w:r>
      <w:r w:rsidR="00AB3E61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  <w:r w:rsidR="008741CC">
        <w:rPr>
          <w:rFonts w:eastAsia="DengXian" w:cstheme="minorHAnsi"/>
          <w:color w:val="595959" w:themeColor="text1" w:themeTint="A6"/>
          <w:sz w:val="24"/>
          <w:szCs w:val="24"/>
        </w:rPr>
        <w:t xml:space="preserve">bilateral </w:t>
      </w:r>
      <w:r w:rsidR="00794F27" w:rsidRPr="00794F27">
        <w:rPr>
          <w:rFonts w:eastAsia="DengXian" w:cstheme="minorHAnsi"/>
          <w:color w:val="595959" w:themeColor="text1" w:themeTint="A6"/>
          <w:sz w:val="24"/>
          <w:szCs w:val="24"/>
        </w:rPr>
        <w:t xml:space="preserve">Sino-German expert </w:t>
      </w:r>
      <w:r w:rsidR="00AB3E61">
        <w:rPr>
          <w:rFonts w:eastAsia="DengXian" w:cstheme="minorHAnsi"/>
          <w:color w:val="595959" w:themeColor="text1" w:themeTint="A6"/>
          <w:sz w:val="24"/>
          <w:szCs w:val="24"/>
        </w:rPr>
        <w:t>dialogue</w:t>
      </w:r>
      <w:r w:rsidR="00794F27" w:rsidRPr="00794F27">
        <w:rPr>
          <w:rFonts w:eastAsia="DengXian" w:cstheme="minorHAnsi"/>
          <w:color w:val="595959" w:themeColor="text1" w:themeTint="A6"/>
          <w:sz w:val="24"/>
          <w:szCs w:val="24"/>
        </w:rPr>
        <w:t xml:space="preserve"> on sustainable finance</w:t>
      </w:r>
      <w:r w:rsidR="00A0739E">
        <w:rPr>
          <w:rFonts w:eastAsia="DengXian" w:cstheme="minorHAnsi"/>
          <w:color w:val="595959" w:themeColor="text1" w:themeTint="A6"/>
          <w:sz w:val="24"/>
          <w:szCs w:val="24"/>
        </w:rPr>
        <w:t>, c</w:t>
      </w:r>
      <w:r w:rsidR="009E7456" w:rsidRPr="009E7456">
        <w:rPr>
          <w:rFonts w:eastAsia="DengXian" w:cstheme="minorHAnsi"/>
          <w:color w:val="595959" w:themeColor="text1" w:themeTint="A6"/>
          <w:sz w:val="24"/>
          <w:szCs w:val="24"/>
        </w:rPr>
        <w:t>ommissioned by the German Federal Foreign Office and funded by</w:t>
      </w:r>
      <w:r w:rsidR="00A0739E">
        <w:rPr>
          <w:rFonts w:eastAsia="DengXian" w:cstheme="minorHAnsi"/>
          <w:color w:val="595959" w:themeColor="text1" w:themeTint="A6"/>
          <w:sz w:val="24"/>
          <w:szCs w:val="24"/>
        </w:rPr>
        <w:t xml:space="preserve"> the</w:t>
      </w:r>
      <w:r w:rsidR="009E7456" w:rsidRPr="009E7456">
        <w:rPr>
          <w:rFonts w:eastAsia="DengXian" w:cstheme="minorHAnsi"/>
          <w:color w:val="595959" w:themeColor="text1" w:themeTint="A6"/>
          <w:sz w:val="24"/>
          <w:szCs w:val="24"/>
        </w:rPr>
        <w:t xml:space="preserve"> International Climate Initiative (IKI), </w:t>
      </w:r>
      <w:r w:rsidR="00781B05">
        <w:rPr>
          <w:rFonts w:eastAsia="DengXian" w:cstheme="minorHAnsi"/>
          <w:color w:val="595959" w:themeColor="text1" w:themeTint="A6"/>
          <w:sz w:val="24"/>
          <w:szCs w:val="24"/>
        </w:rPr>
        <w:t>has been</w:t>
      </w:r>
      <w:r w:rsidR="00794F27" w:rsidRPr="00794F27">
        <w:rPr>
          <w:rFonts w:eastAsia="DengXian" w:cstheme="minorHAnsi"/>
          <w:color w:val="595959" w:themeColor="text1" w:themeTint="A6"/>
          <w:sz w:val="24"/>
          <w:szCs w:val="24"/>
        </w:rPr>
        <w:t xml:space="preserve"> established to strengthen the  climate finance policy framework, policy coordination, policy initiatives, market development and practices among stakeholders </w:t>
      </w:r>
      <w:r w:rsidR="00781B05">
        <w:rPr>
          <w:rFonts w:eastAsia="DengXian" w:cstheme="minorHAnsi"/>
          <w:color w:val="595959" w:themeColor="text1" w:themeTint="A6"/>
          <w:sz w:val="24"/>
          <w:szCs w:val="24"/>
        </w:rPr>
        <w:t>from</w:t>
      </w:r>
      <w:r w:rsidR="00794F27" w:rsidRPr="00794F27">
        <w:rPr>
          <w:rFonts w:eastAsia="DengXian" w:cstheme="minorHAnsi"/>
          <w:color w:val="595959" w:themeColor="text1" w:themeTint="A6"/>
          <w:sz w:val="24"/>
          <w:szCs w:val="24"/>
        </w:rPr>
        <w:t xml:space="preserve"> China and Germany. </w:t>
      </w:r>
      <w:r w:rsidR="00093C48">
        <w:rPr>
          <w:rFonts w:eastAsia="DengXian" w:cstheme="minorHAnsi"/>
          <w:color w:val="595959" w:themeColor="text1" w:themeTint="A6"/>
          <w:sz w:val="24"/>
          <w:szCs w:val="24"/>
        </w:rPr>
        <w:t>The platform includes</w:t>
      </w:r>
      <w:r w:rsidR="00412C25"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  <w:r w:rsidR="00C52A2C" w:rsidRPr="00794F27">
        <w:rPr>
          <w:rFonts w:eastAsia="DengXian" w:cstheme="minorHAnsi"/>
          <w:color w:val="595959" w:themeColor="text1" w:themeTint="A6"/>
          <w:sz w:val="24"/>
          <w:szCs w:val="24"/>
        </w:rPr>
        <w:t>a series of workshops to facilitate insight exchange and peer learning amongst experts</w:t>
      </w:r>
      <w:r w:rsidR="00781B05">
        <w:rPr>
          <w:rFonts w:eastAsia="DengXian" w:cstheme="minorHAnsi"/>
          <w:color w:val="595959" w:themeColor="text1" w:themeTint="A6"/>
          <w:sz w:val="24"/>
          <w:szCs w:val="24"/>
        </w:rPr>
        <w:t xml:space="preserve"> from both countries</w:t>
      </w:r>
      <w:r w:rsidR="001927BE">
        <w:rPr>
          <w:rFonts w:eastAsia="DengXian" w:cstheme="minorHAnsi"/>
          <w:color w:val="595959" w:themeColor="text1" w:themeTint="A6"/>
          <w:sz w:val="24"/>
          <w:szCs w:val="24"/>
        </w:rPr>
        <w:t xml:space="preserve">. Whereas the first two workshops </w:t>
      </w:r>
      <w:r w:rsidR="00E012B7">
        <w:rPr>
          <w:rFonts w:eastAsia="DengXian" w:cstheme="minorHAnsi"/>
          <w:color w:val="595959" w:themeColor="text1" w:themeTint="A6"/>
          <w:sz w:val="24"/>
          <w:szCs w:val="24"/>
        </w:rPr>
        <w:t xml:space="preserve">focused on </w:t>
      </w:r>
      <w:r w:rsidR="00093C48" w:rsidRPr="00093C48">
        <w:rPr>
          <w:rFonts w:eastAsia="DengXian" w:cstheme="minorHAnsi"/>
          <w:color w:val="595959" w:themeColor="text1" w:themeTint="A6"/>
          <w:sz w:val="24"/>
          <w:szCs w:val="24"/>
        </w:rPr>
        <w:t>sustainable debt</w:t>
      </w:r>
      <w:r w:rsidR="00E012B7">
        <w:rPr>
          <w:rFonts w:eastAsia="DengXian" w:cstheme="minorHAnsi"/>
          <w:color w:val="595959" w:themeColor="text1" w:themeTint="A6"/>
          <w:sz w:val="24"/>
          <w:szCs w:val="24"/>
        </w:rPr>
        <w:t xml:space="preserve"> and insurance</w:t>
      </w:r>
      <w:r w:rsidR="00093C48" w:rsidRPr="00093C48">
        <w:rPr>
          <w:rFonts w:eastAsia="DengXian" w:cstheme="minorHAnsi"/>
          <w:color w:val="595959" w:themeColor="text1" w:themeTint="A6"/>
          <w:sz w:val="24"/>
          <w:szCs w:val="24"/>
        </w:rPr>
        <w:t xml:space="preserve"> instruments </w:t>
      </w:r>
      <w:r w:rsidR="00E012B7">
        <w:rPr>
          <w:rFonts w:eastAsia="DengXian" w:cstheme="minorHAnsi"/>
          <w:color w:val="595959" w:themeColor="text1" w:themeTint="A6"/>
          <w:sz w:val="24"/>
          <w:szCs w:val="24"/>
        </w:rPr>
        <w:t>respectively</w:t>
      </w:r>
      <w:r w:rsidR="00412C25">
        <w:rPr>
          <w:rFonts w:eastAsia="DengXian" w:cstheme="minorHAnsi"/>
          <w:color w:val="595959" w:themeColor="text1" w:themeTint="A6"/>
          <w:sz w:val="24"/>
          <w:szCs w:val="24"/>
        </w:rPr>
        <w:t xml:space="preserve">, </w:t>
      </w:r>
      <w:r w:rsidR="00E36DC0">
        <w:rPr>
          <w:rFonts w:eastAsia="DengXian" w:cstheme="minorHAnsi"/>
          <w:color w:val="595959" w:themeColor="text1" w:themeTint="A6"/>
          <w:sz w:val="24"/>
          <w:szCs w:val="24"/>
        </w:rPr>
        <w:t xml:space="preserve">the topic </w:t>
      </w:r>
      <w:r w:rsidR="00093C48" w:rsidRPr="00093C48">
        <w:rPr>
          <w:rFonts w:eastAsia="DengXian" w:cstheme="minorHAnsi"/>
          <w:color w:val="595959" w:themeColor="text1" w:themeTint="A6"/>
          <w:sz w:val="24"/>
          <w:szCs w:val="24"/>
        </w:rPr>
        <w:t xml:space="preserve">this time </w:t>
      </w:r>
      <w:r w:rsidR="00E36DC0">
        <w:rPr>
          <w:rFonts w:eastAsia="DengXian" w:cstheme="minorHAnsi"/>
          <w:color w:val="595959" w:themeColor="text1" w:themeTint="A6"/>
          <w:sz w:val="24"/>
          <w:szCs w:val="24"/>
        </w:rPr>
        <w:t xml:space="preserve">was </w:t>
      </w:r>
      <w:r w:rsidR="00093C48" w:rsidRPr="00093C48">
        <w:rPr>
          <w:rFonts w:eastAsia="DengXian" w:cstheme="minorHAnsi"/>
          <w:color w:val="595959" w:themeColor="text1" w:themeTint="A6"/>
          <w:sz w:val="24"/>
          <w:szCs w:val="24"/>
        </w:rPr>
        <w:t>on sustainable equity products and sustainability disclosures.</w:t>
      </w:r>
    </w:p>
    <w:p w14:paraId="75C431A5" w14:textId="77777777" w:rsidR="00C34512" w:rsidRDefault="00C34512" w:rsidP="00E36DC0">
      <w:pPr>
        <w:pStyle w:val="ListParagraph1"/>
        <w:spacing w:before="40" w:after="40"/>
        <w:ind w:left="0"/>
        <w:rPr>
          <w:rFonts w:eastAsia="DengXian" w:cstheme="minorHAnsi"/>
          <w:color w:val="595959" w:themeColor="text1" w:themeTint="A6"/>
          <w:sz w:val="24"/>
          <w:szCs w:val="24"/>
        </w:rPr>
      </w:pPr>
    </w:p>
    <w:p w14:paraId="4EDD46AA" w14:textId="5B62E0B5" w:rsidR="009A5000" w:rsidRPr="003E0B12" w:rsidRDefault="00574941" w:rsidP="00E65204">
      <w:pPr>
        <w:pStyle w:val="ListParagraph1"/>
        <w:spacing w:before="40" w:after="40"/>
        <w:ind w:left="0"/>
        <w:rPr>
          <w:sz w:val="24"/>
          <w:szCs w:val="24"/>
        </w:rPr>
      </w:pPr>
      <w:r>
        <w:rPr>
          <w:rFonts w:eastAsia="DengXian" w:cstheme="minorHAnsi"/>
          <w:color w:val="595959" w:themeColor="text1" w:themeTint="A6"/>
          <w:sz w:val="24"/>
          <w:szCs w:val="24"/>
        </w:rPr>
        <w:t>The welcome speeches were held</w:t>
      </w:r>
      <w:r w:rsidR="003650B2" w:rsidRPr="003E0B12">
        <w:rPr>
          <w:rFonts w:eastAsia="DengXian" w:cstheme="minorHAnsi"/>
          <w:color w:val="595959" w:themeColor="text1" w:themeTint="A6"/>
          <w:sz w:val="24"/>
          <w:szCs w:val="24"/>
        </w:rPr>
        <w:t xml:space="preserve"> by Prof. Horst </w:t>
      </w:r>
      <w:r w:rsidR="007E0115" w:rsidRPr="003E0B12">
        <w:rPr>
          <w:rFonts w:eastAsia="DengXian" w:cstheme="minorHAnsi"/>
          <w:color w:val="595959" w:themeColor="text1" w:themeTint="A6"/>
          <w:sz w:val="24"/>
          <w:szCs w:val="24"/>
        </w:rPr>
        <w:t>Löchel, Co-Chairman of the Sino-German Center and</w:t>
      </w:r>
      <w:r w:rsidR="007E0115" w:rsidRPr="003E0B12">
        <w:rPr>
          <w:rFonts w:eastAsia="DengXian" w:cstheme="minorHAnsi"/>
          <w:color w:val="000000" w:themeColor="text1"/>
          <w:sz w:val="24"/>
          <w:szCs w:val="24"/>
        </w:rPr>
        <w:t xml:space="preserve"> </w:t>
      </w:r>
      <w:r w:rsidR="00211E6F" w:rsidRPr="003E0B12">
        <w:rPr>
          <w:rFonts w:eastAsia="DengXian" w:cstheme="minorHAnsi"/>
          <w:color w:val="000000" w:themeColor="text1"/>
          <w:sz w:val="24"/>
          <w:szCs w:val="24"/>
        </w:rPr>
        <w:t>Professor of Economics at Frankfurt School</w:t>
      </w:r>
      <w:r w:rsidR="003E0B12">
        <w:rPr>
          <w:rFonts w:eastAsia="DengXian" w:cstheme="minorHAnsi"/>
          <w:color w:val="000000" w:themeColor="text1"/>
          <w:sz w:val="24"/>
          <w:szCs w:val="24"/>
        </w:rPr>
        <w:t>,</w:t>
      </w:r>
      <w:r w:rsidR="00211E6F" w:rsidRPr="003E0B12">
        <w:rPr>
          <w:rFonts w:eastAsia="DengXian" w:cstheme="minorHAnsi"/>
          <w:color w:val="000000" w:themeColor="text1"/>
          <w:sz w:val="24"/>
          <w:szCs w:val="24"/>
        </w:rPr>
        <w:t xml:space="preserve"> and</w:t>
      </w:r>
      <w:r w:rsidR="000E006E" w:rsidRPr="003E0B12">
        <w:rPr>
          <w:rFonts w:eastAsia="DengXian" w:cstheme="minorHAnsi"/>
          <w:color w:val="000000" w:themeColor="text1"/>
          <w:sz w:val="24"/>
          <w:szCs w:val="24"/>
        </w:rPr>
        <w:t xml:space="preserve"> </w:t>
      </w:r>
      <w:r w:rsidR="00136B45">
        <w:rPr>
          <w:rFonts w:eastAsia="DengXian" w:cstheme="minorHAnsi"/>
          <w:color w:val="000000" w:themeColor="text1"/>
          <w:sz w:val="24"/>
          <w:szCs w:val="24"/>
        </w:rPr>
        <w:t>Thorsten Giehler, Director at GIZ and former country head of China.</w:t>
      </w:r>
      <w:r w:rsidR="00FD5A90">
        <w:rPr>
          <w:rFonts w:eastAsia="DengXian" w:cstheme="minorHAnsi"/>
          <w:color w:val="000000" w:themeColor="text1"/>
          <w:sz w:val="24"/>
          <w:szCs w:val="24"/>
        </w:rPr>
        <w:t xml:space="preserve"> </w:t>
      </w:r>
      <w:r w:rsidR="000E006E" w:rsidRPr="003E0B12">
        <w:rPr>
          <w:rFonts w:cstheme="minorHAnsi"/>
          <w:sz w:val="24"/>
          <w:szCs w:val="24"/>
        </w:rPr>
        <w:t xml:space="preserve">Both </w:t>
      </w:r>
      <w:r w:rsidR="002E1B70">
        <w:rPr>
          <w:rFonts w:cstheme="minorHAnsi"/>
          <w:sz w:val="24"/>
          <w:szCs w:val="24"/>
        </w:rPr>
        <w:t xml:space="preserve">speakers </w:t>
      </w:r>
      <w:r w:rsidR="00366B3F">
        <w:rPr>
          <w:rFonts w:cstheme="minorHAnsi"/>
          <w:sz w:val="24"/>
          <w:szCs w:val="24"/>
        </w:rPr>
        <w:t>stressed</w:t>
      </w:r>
      <w:r w:rsidR="000E006E" w:rsidRPr="003E0B12">
        <w:rPr>
          <w:rFonts w:cstheme="minorHAnsi"/>
          <w:sz w:val="24"/>
          <w:szCs w:val="24"/>
        </w:rPr>
        <w:t xml:space="preserve"> the </w:t>
      </w:r>
      <w:r w:rsidR="002B234B" w:rsidRPr="003E0B12">
        <w:rPr>
          <w:rFonts w:cstheme="minorHAnsi"/>
          <w:sz w:val="24"/>
          <w:szCs w:val="24"/>
        </w:rPr>
        <w:t>importance and huge</w:t>
      </w:r>
      <w:r w:rsidR="000E006E" w:rsidRPr="003E0B12">
        <w:rPr>
          <w:rFonts w:cstheme="minorHAnsi"/>
          <w:sz w:val="24"/>
          <w:szCs w:val="24"/>
        </w:rPr>
        <w:t xml:space="preserve"> po</w:t>
      </w:r>
      <w:r w:rsidR="002B234B" w:rsidRPr="003E0B12">
        <w:rPr>
          <w:rFonts w:cstheme="minorHAnsi"/>
          <w:sz w:val="24"/>
          <w:szCs w:val="24"/>
        </w:rPr>
        <w:t>tential of the topic for the Sino-German cooperation.</w:t>
      </w:r>
      <w:r w:rsidR="00264C29">
        <w:rPr>
          <w:rFonts w:cstheme="minorHAnsi"/>
          <w:sz w:val="24"/>
          <w:szCs w:val="24"/>
        </w:rPr>
        <w:t xml:space="preserve"> </w:t>
      </w:r>
      <w:r w:rsidR="00E8011B" w:rsidRPr="003E0B12">
        <w:rPr>
          <w:rFonts w:cstheme="minorHAnsi"/>
          <w:sz w:val="24"/>
          <w:szCs w:val="24"/>
        </w:rPr>
        <w:t xml:space="preserve">Mr. </w:t>
      </w:r>
      <w:r w:rsidR="006A25EA">
        <w:rPr>
          <w:rFonts w:cstheme="minorHAnsi"/>
          <w:sz w:val="24"/>
          <w:szCs w:val="24"/>
        </w:rPr>
        <w:t xml:space="preserve">ZHU </w:t>
      </w:r>
      <w:r w:rsidR="00DC2481" w:rsidRPr="003E0B12">
        <w:rPr>
          <w:rFonts w:cstheme="minorHAnsi"/>
          <w:sz w:val="24"/>
          <w:szCs w:val="24"/>
        </w:rPr>
        <w:t>Qingfeng, Secretary-General and Vice-Chairman of Climate Investment and Finance Association</w:t>
      </w:r>
      <w:r w:rsidR="00AA5C90" w:rsidRPr="003E0B12">
        <w:rPr>
          <w:rFonts w:cstheme="minorHAnsi"/>
          <w:sz w:val="24"/>
          <w:szCs w:val="24"/>
        </w:rPr>
        <w:t xml:space="preserve"> </w:t>
      </w:r>
      <w:r w:rsidR="00264C29">
        <w:rPr>
          <w:rFonts w:cstheme="minorHAnsi"/>
          <w:sz w:val="24"/>
          <w:szCs w:val="24"/>
        </w:rPr>
        <w:t xml:space="preserve">and </w:t>
      </w:r>
      <w:r w:rsidR="00FD5A90">
        <w:rPr>
          <w:rFonts w:eastAsia="DengXian" w:cstheme="minorHAnsi"/>
          <w:sz w:val="24"/>
          <w:szCs w:val="24"/>
        </w:rPr>
        <w:t>Dr Aaron Kamm, Referee for the financial centre of Frankfurt at the Ministry of Economics at the State of Hessen</w:t>
      </w:r>
      <w:r w:rsidR="00ED2214">
        <w:rPr>
          <w:rFonts w:eastAsia="DengXian" w:cstheme="minorHAnsi"/>
          <w:sz w:val="24"/>
          <w:szCs w:val="24"/>
        </w:rPr>
        <w:t>, deliver</w:t>
      </w:r>
      <w:r w:rsidR="00A92E96">
        <w:rPr>
          <w:rFonts w:eastAsia="DengXian" w:cstheme="minorHAnsi"/>
          <w:sz w:val="24"/>
          <w:szCs w:val="24"/>
        </w:rPr>
        <w:t>ed</w:t>
      </w:r>
      <w:r w:rsidR="00ED2214">
        <w:rPr>
          <w:rFonts w:eastAsia="DengXian" w:cstheme="minorHAnsi"/>
          <w:sz w:val="24"/>
          <w:szCs w:val="24"/>
        </w:rPr>
        <w:t xml:space="preserve"> </w:t>
      </w:r>
      <w:r w:rsidR="00F570F3">
        <w:rPr>
          <w:rFonts w:eastAsia="DengXian" w:cstheme="minorHAnsi"/>
          <w:sz w:val="24"/>
          <w:szCs w:val="24"/>
        </w:rPr>
        <w:t>respective</w:t>
      </w:r>
      <w:r w:rsidR="00ED2214">
        <w:rPr>
          <w:rFonts w:eastAsia="DengXian" w:cstheme="minorHAnsi"/>
          <w:sz w:val="24"/>
          <w:szCs w:val="24"/>
        </w:rPr>
        <w:t xml:space="preserve"> key note speeches to </w:t>
      </w:r>
      <w:r w:rsidR="008838FC">
        <w:rPr>
          <w:rFonts w:eastAsia="DengXian" w:cstheme="minorHAnsi"/>
          <w:sz w:val="24"/>
          <w:szCs w:val="24"/>
        </w:rPr>
        <w:t xml:space="preserve">the </w:t>
      </w:r>
      <w:r w:rsidR="00ED2214">
        <w:rPr>
          <w:rFonts w:eastAsia="DengXian" w:cstheme="minorHAnsi"/>
          <w:sz w:val="24"/>
          <w:szCs w:val="24"/>
        </w:rPr>
        <w:t>topi</w:t>
      </w:r>
      <w:r w:rsidR="00F570F3">
        <w:rPr>
          <w:rFonts w:eastAsia="DengXian" w:cstheme="minorHAnsi"/>
          <w:sz w:val="24"/>
          <w:szCs w:val="24"/>
        </w:rPr>
        <w:t>c of the workshop. This was followed</w:t>
      </w:r>
      <w:r w:rsidR="00F455BE">
        <w:rPr>
          <w:rFonts w:eastAsia="DengXian" w:cstheme="minorHAnsi"/>
          <w:sz w:val="24"/>
          <w:szCs w:val="24"/>
        </w:rPr>
        <w:t xml:space="preserve"> by two consecutive workshops on ‘Sustainable Equity Products’</w:t>
      </w:r>
      <w:r w:rsidR="00E72F1C" w:rsidRPr="003E0B12">
        <w:rPr>
          <w:rFonts w:eastAsia="DengXian" w:cstheme="minorHAnsi"/>
          <w:sz w:val="24"/>
          <w:szCs w:val="24"/>
        </w:rPr>
        <w:t xml:space="preserve"> </w:t>
      </w:r>
      <w:r w:rsidR="00041D89">
        <w:rPr>
          <w:rFonts w:eastAsia="DengXian" w:cstheme="minorHAnsi"/>
          <w:sz w:val="24"/>
          <w:szCs w:val="24"/>
        </w:rPr>
        <w:t xml:space="preserve">headed by CHENG Lin, Director of the Center for International Collaboration (IFS), </w:t>
      </w:r>
      <w:r w:rsidR="006A25EA">
        <w:rPr>
          <w:rFonts w:eastAsia="DengXian" w:cstheme="minorHAnsi"/>
          <w:sz w:val="24"/>
          <w:szCs w:val="24"/>
        </w:rPr>
        <w:t xml:space="preserve">and on ‘Sustainability Disclosures’ </w:t>
      </w:r>
      <w:r w:rsidR="004B3976">
        <w:rPr>
          <w:rFonts w:eastAsia="DengXian" w:cstheme="minorHAnsi"/>
          <w:sz w:val="24"/>
          <w:szCs w:val="24"/>
        </w:rPr>
        <w:t>moderated by Dr Sven Reimer.</w:t>
      </w:r>
      <w:r w:rsidR="006E0B95">
        <w:rPr>
          <w:rFonts w:eastAsia="DengXian" w:cstheme="minorHAnsi"/>
          <w:sz w:val="24"/>
          <w:szCs w:val="24"/>
        </w:rPr>
        <w:t xml:space="preserve"> The respective discussions showed how equity products and disclosures could </w:t>
      </w:r>
      <w:r w:rsidR="00EC0A9A" w:rsidRPr="003E0B12">
        <w:rPr>
          <w:rFonts w:eastAsia="DengXian" w:cstheme="minorHAnsi"/>
          <w:sz w:val="24"/>
          <w:szCs w:val="24"/>
        </w:rPr>
        <w:t xml:space="preserve">support sustainable </w:t>
      </w:r>
      <w:r w:rsidR="00931373">
        <w:rPr>
          <w:rFonts w:eastAsia="DengXian" w:cstheme="minorHAnsi"/>
          <w:sz w:val="24"/>
          <w:szCs w:val="24"/>
        </w:rPr>
        <w:t>finance as an instrument for environmental protection</w:t>
      </w:r>
      <w:r w:rsidR="00DA4D01">
        <w:rPr>
          <w:rFonts w:eastAsia="DengXian" w:cstheme="minorHAnsi"/>
          <w:sz w:val="24"/>
          <w:szCs w:val="24"/>
        </w:rPr>
        <w:t xml:space="preserve"> in both Germany and China.</w:t>
      </w:r>
      <w:r w:rsidR="00366B3F">
        <w:rPr>
          <w:rFonts w:eastAsia="DengXian" w:cstheme="minorHAnsi"/>
          <w:sz w:val="24"/>
          <w:szCs w:val="24"/>
        </w:rPr>
        <w:t xml:space="preserve"> The </w:t>
      </w:r>
      <w:r w:rsidR="000A415E">
        <w:rPr>
          <w:rFonts w:eastAsia="DengXian" w:cstheme="minorHAnsi"/>
          <w:sz w:val="24"/>
          <w:szCs w:val="24"/>
        </w:rPr>
        <w:t xml:space="preserve">concluding remarks of the </w:t>
      </w:r>
      <w:r w:rsidR="00366B3F">
        <w:rPr>
          <w:rFonts w:eastAsia="DengXian" w:cstheme="minorHAnsi"/>
          <w:sz w:val="24"/>
          <w:szCs w:val="24"/>
        </w:rPr>
        <w:t>workshop w</w:t>
      </w:r>
      <w:r w:rsidR="00945B92">
        <w:rPr>
          <w:rFonts w:eastAsia="DengXian" w:cstheme="minorHAnsi"/>
          <w:sz w:val="24"/>
          <w:szCs w:val="24"/>
        </w:rPr>
        <w:t>ere</w:t>
      </w:r>
      <w:r w:rsidR="00366B3F">
        <w:rPr>
          <w:rFonts w:eastAsia="DengXian" w:cstheme="minorHAnsi"/>
          <w:sz w:val="24"/>
          <w:szCs w:val="24"/>
        </w:rPr>
        <w:t xml:space="preserve"> </w:t>
      </w:r>
      <w:r w:rsidR="00D1638E">
        <w:rPr>
          <w:rFonts w:eastAsia="DengXian" w:cstheme="minorHAnsi"/>
          <w:sz w:val="24"/>
          <w:szCs w:val="24"/>
        </w:rPr>
        <w:t xml:space="preserve">delivered </w:t>
      </w:r>
      <w:r w:rsidR="00366B3F">
        <w:rPr>
          <w:rFonts w:eastAsia="DengXian" w:cstheme="minorHAnsi"/>
          <w:sz w:val="24"/>
          <w:szCs w:val="24"/>
        </w:rPr>
        <w:t>by Prof. Rüdiger von Rosen</w:t>
      </w:r>
      <w:r w:rsidR="002B07BD">
        <w:rPr>
          <w:rFonts w:eastAsia="DengXian" w:cstheme="minorHAnsi"/>
          <w:sz w:val="24"/>
          <w:szCs w:val="24"/>
        </w:rPr>
        <w:t>, Co-Chairman of the Sino-German Center.</w:t>
      </w:r>
      <w:r w:rsidR="00E65204">
        <w:rPr>
          <w:rFonts w:eastAsia="DengXian" w:cstheme="minorHAnsi"/>
          <w:sz w:val="24"/>
          <w:szCs w:val="24"/>
        </w:rPr>
        <w:t xml:space="preserve"> </w:t>
      </w:r>
      <w:r w:rsidR="007C767B">
        <w:rPr>
          <w:rFonts w:eastAsia="DengXian" w:cstheme="minorHAnsi"/>
          <w:sz w:val="24"/>
          <w:szCs w:val="24"/>
        </w:rPr>
        <w:t>Overall, the workshop was a great success and will be continued in 2025.</w:t>
      </w:r>
    </w:p>
    <w:p w14:paraId="58EF0784" w14:textId="19ECC7E5" w:rsidR="00025934" w:rsidRPr="003E0B12" w:rsidRDefault="00025934" w:rsidP="003E0B12">
      <w:pPr>
        <w:pStyle w:val="ListParagraph1"/>
        <w:ind w:left="0"/>
        <w:rPr>
          <w:sz w:val="24"/>
          <w:szCs w:val="24"/>
        </w:rPr>
      </w:pPr>
    </w:p>
    <w:p w14:paraId="259C1E68" w14:textId="65004A16" w:rsidR="00A81F87" w:rsidRPr="003E0B12" w:rsidRDefault="00A81F87" w:rsidP="003E0B12">
      <w:pPr>
        <w:pStyle w:val="ListParagraph1"/>
        <w:ind w:left="0"/>
        <w:rPr>
          <w:sz w:val="24"/>
          <w:szCs w:val="24"/>
        </w:rPr>
      </w:pPr>
    </w:p>
    <w:p w14:paraId="23B39E65" w14:textId="71474A74" w:rsidR="002634E4" w:rsidRPr="003E0B12" w:rsidRDefault="002634E4" w:rsidP="003E0B12">
      <w:pPr>
        <w:pStyle w:val="ListParagraph1"/>
        <w:ind w:left="0"/>
        <w:rPr>
          <w:sz w:val="24"/>
          <w:szCs w:val="24"/>
        </w:rPr>
      </w:pPr>
    </w:p>
    <w:p w14:paraId="5C4AC3BC" w14:textId="3CD0563E" w:rsidR="006E3F4D" w:rsidRPr="003E0B12" w:rsidRDefault="006E3F4D" w:rsidP="003E0B12">
      <w:pPr>
        <w:snapToGrid w:val="0"/>
        <w:spacing w:before="40" w:after="40" w:line="240" w:lineRule="auto"/>
        <w:rPr>
          <w:rFonts w:eastAsia="DengXian" w:cstheme="minorHAnsi"/>
          <w:color w:val="595959" w:themeColor="text1" w:themeTint="A6"/>
          <w:sz w:val="24"/>
          <w:szCs w:val="24"/>
        </w:rPr>
      </w:pPr>
    </w:p>
    <w:p w14:paraId="1FC7F4B4" w14:textId="3B43E215" w:rsidR="00A754CD" w:rsidRPr="003E0B12" w:rsidRDefault="00A754CD" w:rsidP="003E0B12">
      <w:pPr>
        <w:pStyle w:val="ListParagraph1"/>
        <w:spacing w:before="40" w:after="40"/>
        <w:ind w:left="0"/>
        <w:rPr>
          <w:rFonts w:eastAsia="DengXian" w:cstheme="minorHAnsi"/>
          <w:color w:val="595959" w:themeColor="text1" w:themeTint="A6"/>
          <w:sz w:val="24"/>
          <w:szCs w:val="24"/>
        </w:rPr>
      </w:pPr>
    </w:p>
    <w:p w14:paraId="5641AEA4" w14:textId="0B3D653F" w:rsidR="007F4531" w:rsidRDefault="00756325" w:rsidP="00B8666E">
      <w:pPr>
        <w:snapToGrid w:val="0"/>
        <w:spacing w:before="40" w:after="40" w:line="240" w:lineRule="auto"/>
        <w:rPr>
          <w:rFonts w:cstheme="minorHAnsi"/>
        </w:rPr>
      </w:pPr>
      <w:r>
        <w:rPr>
          <w:rFonts w:eastAsia="DengXian" w:cstheme="minorHAnsi"/>
          <w:color w:val="595959" w:themeColor="text1" w:themeTint="A6"/>
          <w:sz w:val="24"/>
          <w:szCs w:val="24"/>
        </w:rPr>
        <w:t xml:space="preserve"> </w:t>
      </w:r>
    </w:p>
    <w:sectPr w:rsidR="007F4531" w:rsidSect="003E0B12">
      <w:footerReference w:type="default" r:id="rId12"/>
      <w:headerReference w:type="first" r:id="rId13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0B0A" w14:textId="77777777" w:rsidR="00AB6462" w:rsidRDefault="00AB6462">
      <w:pPr>
        <w:spacing w:line="240" w:lineRule="auto"/>
      </w:pPr>
      <w:r>
        <w:separator/>
      </w:r>
    </w:p>
  </w:endnote>
  <w:endnote w:type="continuationSeparator" w:id="0">
    <w:p w14:paraId="1F5BCBC4" w14:textId="77777777" w:rsidR="00AB6462" w:rsidRDefault="00AB6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 for KPMG Light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6EB5" w14:textId="77777777" w:rsidR="00FF761E" w:rsidRDefault="00FF761E">
    <w:pPr>
      <w:pStyle w:val="Fuzeile"/>
      <w:tabs>
        <w:tab w:val="clear" w:pos="4680"/>
        <w:tab w:val="clear" w:pos="9360"/>
        <w:tab w:val="left" w:pos="5460"/>
      </w:tabs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FB7C" w14:textId="77777777" w:rsidR="00AB6462" w:rsidRDefault="00AB6462">
      <w:pPr>
        <w:spacing w:after="0"/>
      </w:pPr>
      <w:r>
        <w:separator/>
      </w:r>
    </w:p>
  </w:footnote>
  <w:footnote w:type="continuationSeparator" w:id="0">
    <w:p w14:paraId="34E08810" w14:textId="77777777" w:rsidR="00AB6462" w:rsidRDefault="00AB64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D2C0" w14:textId="77777777" w:rsidR="00FF761E" w:rsidRDefault="00A06A44">
    <w:pPr>
      <w:pStyle w:val="Kopfzeile"/>
      <w:tabs>
        <w:tab w:val="clear" w:pos="4680"/>
        <w:tab w:val="clear" w:pos="9360"/>
        <w:tab w:val="left" w:pos="5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7883"/>
    <w:multiLevelType w:val="multilevel"/>
    <w:tmpl w:val="0F9C7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5066"/>
    <w:multiLevelType w:val="multilevel"/>
    <w:tmpl w:val="23E95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9E8"/>
    <w:multiLevelType w:val="multilevel"/>
    <w:tmpl w:val="3C1A7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360E"/>
    <w:multiLevelType w:val="multilevel"/>
    <w:tmpl w:val="4C4C3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5955"/>
    <w:multiLevelType w:val="multilevel"/>
    <w:tmpl w:val="540759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744062">
    <w:abstractNumId w:val="1"/>
  </w:num>
  <w:num w:numId="2" w16cid:durableId="2071803804">
    <w:abstractNumId w:val="0"/>
  </w:num>
  <w:num w:numId="3" w16cid:durableId="1409425862">
    <w:abstractNumId w:val="4"/>
  </w:num>
  <w:num w:numId="4" w16cid:durableId="950628311">
    <w:abstractNumId w:val="2"/>
  </w:num>
  <w:num w:numId="5" w16cid:durableId="157601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mNWM3NTEwNzI5NjE4ZjcwZjRmZjkzMzhkYzU3ZGMifQ=="/>
  </w:docVars>
  <w:rsids>
    <w:rsidRoot w:val="00D72E1E"/>
    <w:rsid w:val="00001C76"/>
    <w:rsid w:val="0000284E"/>
    <w:rsid w:val="00013BDB"/>
    <w:rsid w:val="000147BB"/>
    <w:rsid w:val="00017FAD"/>
    <w:rsid w:val="00021A45"/>
    <w:rsid w:val="00024D5F"/>
    <w:rsid w:val="0002580A"/>
    <w:rsid w:val="00025934"/>
    <w:rsid w:val="00027EE5"/>
    <w:rsid w:val="000304AC"/>
    <w:rsid w:val="0004089A"/>
    <w:rsid w:val="00041D89"/>
    <w:rsid w:val="00062628"/>
    <w:rsid w:val="00063182"/>
    <w:rsid w:val="00081EE4"/>
    <w:rsid w:val="000901F3"/>
    <w:rsid w:val="00093C48"/>
    <w:rsid w:val="000A32D5"/>
    <w:rsid w:val="000A415E"/>
    <w:rsid w:val="000A58F9"/>
    <w:rsid w:val="000A6268"/>
    <w:rsid w:val="000B1BB2"/>
    <w:rsid w:val="000C1141"/>
    <w:rsid w:val="000C615F"/>
    <w:rsid w:val="000D004C"/>
    <w:rsid w:val="000D0F51"/>
    <w:rsid w:val="000E006E"/>
    <w:rsid w:val="000E1F67"/>
    <w:rsid w:val="000F69B4"/>
    <w:rsid w:val="000F794E"/>
    <w:rsid w:val="001042ED"/>
    <w:rsid w:val="001068D2"/>
    <w:rsid w:val="00106D80"/>
    <w:rsid w:val="00110EB4"/>
    <w:rsid w:val="00115AE1"/>
    <w:rsid w:val="00115EDE"/>
    <w:rsid w:val="00125E4D"/>
    <w:rsid w:val="00136B45"/>
    <w:rsid w:val="00136C9B"/>
    <w:rsid w:val="001410DB"/>
    <w:rsid w:val="001529A7"/>
    <w:rsid w:val="00160063"/>
    <w:rsid w:val="00171183"/>
    <w:rsid w:val="0017620C"/>
    <w:rsid w:val="00187E16"/>
    <w:rsid w:val="001918C6"/>
    <w:rsid w:val="001927BE"/>
    <w:rsid w:val="001A34D7"/>
    <w:rsid w:val="001A4C7C"/>
    <w:rsid w:val="001B79B9"/>
    <w:rsid w:val="001C461E"/>
    <w:rsid w:val="001D131A"/>
    <w:rsid w:val="001D76B8"/>
    <w:rsid w:val="001E3E11"/>
    <w:rsid w:val="001E7ED8"/>
    <w:rsid w:val="001F0BE1"/>
    <w:rsid w:val="001F1372"/>
    <w:rsid w:val="001F3040"/>
    <w:rsid w:val="002000E6"/>
    <w:rsid w:val="00201F53"/>
    <w:rsid w:val="00204ECE"/>
    <w:rsid w:val="00211E6F"/>
    <w:rsid w:val="00245E8D"/>
    <w:rsid w:val="00247C26"/>
    <w:rsid w:val="00252A1B"/>
    <w:rsid w:val="0025501F"/>
    <w:rsid w:val="00256D4F"/>
    <w:rsid w:val="002634E4"/>
    <w:rsid w:val="00264C29"/>
    <w:rsid w:val="00276DEA"/>
    <w:rsid w:val="00281137"/>
    <w:rsid w:val="002944C8"/>
    <w:rsid w:val="002A3973"/>
    <w:rsid w:val="002B07BD"/>
    <w:rsid w:val="002B234B"/>
    <w:rsid w:val="002B2F27"/>
    <w:rsid w:val="002E1B70"/>
    <w:rsid w:val="002E5F4C"/>
    <w:rsid w:val="002F0CD7"/>
    <w:rsid w:val="00307F8D"/>
    <w:rsid w:val="00312D25"/>
    <w:rsid w:val="00331FD7"/>
    <w:rsid w:val="003326FD"/>
    <w:rsid w:val="00350919"/>
    <w:rsid w:val="00361DFC"/>
    <w:rsid w:val="00364392"/>
    <w:rsid w:val="003650B2"/>
    <w:rsid w:val="00366B3F"/>
    <w:rsid w:val="00383587"/>
    <w:rsid w:val="003912D5"/>
    <w:rsid w:val="00395845"/>
    <w:rsid w:val="00396E6D"/>
    <w:rsid w:val="003A2DE0"/>
    <w:rsid w:val="003B0081"/>
    <w:rsid w:val="003B0174"/>
    <w:rsid w:val="003B4347"/>
    <w:rsid w:val="003B5140"/>
    <w:rsid w:val="003C43BD"/>
    <w:rsid w:val="003D300E"/>
    <w:rsid w:val="003D654D"/>
    <w:rsid w:val="003E0B12"/>
    <w:rsid w:val="003E5068"/>
    <w:rsid w:val="003E5417"/>
    <w:rsid w:val="003F56DB"/>
    <w:rsid w:val="00405E60"/>
    <w:rsid w:val="004106F2"/>
    <w:rsid w:val="00412C25"/>
    <w:rsid w:val="00417A94"/>
    <w:rsid w:val="00436332"/>
    <w:rsid w:val="00444104"/>
    <w:rsid w:val="0044769C"/>
    <w:rsid w:val="00463ABB"/>
    <w:rsid w:val="00463CE6"/>
    <w:rsid w:val="00476AF4"/>
    <w:rsid w:val="00493D81"/>
    <w:rsid w:val="004A194D"/>
    <w:rsid w:val="004A67EB"/>
    <w:rsid w:val="004B3976"/>
    <w:rsid w:val="004C1439"/>
    <w:rsid w:val="004C71E4"/>
    <w:rsid w:val="0051095B"/>
    <w:rsid w:val="005127E0"/>
    <w:rsid w:val="00514A47"/>
    <w:rsid w:val="00515817"/>
    <w:rsid w:val="00520B10"/>
    <w:rsid w:val="00526943"/>
    <w:rsid w:val="00543024"/>
    <w:rsid w:val="005467D2"/>
    <w:rsid w:val="005563C4"/>
    <w:rsid w:val="005608F4"/>
    <w:rsid w:val="00560B73"/>
    <w:rsid w:val="0056385C"/>
    <w:rsid w:val="00574941"/>
    <w:rsid w:val="00576DBA"/>
    <w:rsid w:val="0058615B"/>
    <w:rsid w:val="005921A2"/>
    <w:rsid w:val="00592E1F"/>
    <w:rsid w:val="005A0EEE"/>
    <w:rsid w:val="005B2690"/>
    <w:rsid w:val="005B4A26"/>
    <w:rsid w:val="005D22FD"/>
    <w:rsid w:val="005D7C65"/>
    <w:rsid w:val="005E1DE5"/>
    <w:rsid w:val="00602662"/>
    <w:rsid w:val="0060665F"/>
    <w:rsid w:val="00607590"/>
    <w:rsid w:val="00617917"/>
    <w:rsid w:val="00621217"/>
    <w:rsid w:val="00632230"/>
    <w:rsid w:val="00635790"/>
    <w:rsid w:val="00636F4A"/>
    <w:rsid w:val="006375EC"/>
    <w:rsid w:val="00645882"/>
    <w:rsid w:val="0065290B"/>
    <w:rsid w:val="0065306E"/>
    <w:rsid w:val="006625B8"/>
    <w:rsid w:val="00665558"/>
    <w:rsid w:val="0067767F"/>
    <w:rsid w:val="006858F1"/>
    <w:rsid w:val="00692322"/>
    <w:rsid w:val="006A0ABA"/>
    <w:rsid w:val="006A25EA"/>
    <w:rsid w:val="006B3E6C"/>
    <w:rsid w:val="006C2F25"/>
    <w:rsid w:val="006D2831"/>
    <w:rsid w:val="006E0B95"/>
    <w:rsid w:val="006E1248"/>
    <w:rsid w:val="006E3F4D"/>
    <w:rsid w:val="006F0DCD"/>
    <w:rsid w:val="006F2665"/>
    <w:rsid w:val="006F31CF"/>
    <w:rsid w:val="006F6E5E"/>
    <w:rsid w:val="0070566B"/>
    <w:rsid w:val="00725AB2"/>
    <w:rsid w:val="0074321F"/>
    <w:rsid w:val="00745D89"/>
    <w:rsid w:val="00746CD9"/>
    <w:rsid w:val="00756325"/>
    <w:rsid w:val="00762C08"/>
    <w:rsid w:val="00781B05"/>
    <w:rsid w:val="00792D7E"/>
    <w:rsid w:val="00794F27"/>
    <w:rsid w:val="00795095"/>
    <w:rsid w:val="007C2641"/>
    <w:rsid w:val="007C767B"/>
    <w:rsid w:val="007D26B3"/>
    <w:rsid w:val="007D4BFA"/>
    <w:rsid w:val="007E0115"/>
    <w:rsid w:val="007F0C80"/>
    <w:rsid w:val="007F3D44"/>
    <w:rsid w:val="007F4531"/>
    <w:rsid w:val="007F5ED9"/>
    <w:rsid w:val="00801C35"/>
    <w:rsid w:val="00803E54"/>
    <w:rsid w:val="00822B7E"/>
    <w:rsid w:val="00831947"/>
    <w:rsid w:val="00834F19"/>
    <w:rsid w:val="00837982"/>
    <w:rsid w:val="00841BD9"/>
    <w:rsid w:val="0084277A"/>
    <w:rsid w:val="00857C0D"/>
    <w:rsid w:val="00862979"/>
    <w:rsid w:val="008630C2"/>
    <w:rsid w:val="00864512"/>
    <w:rsid w:val="008741CC"/>
    <w:rsid w:val="00881F32"/>
    <w:rsid w:val="00882D06"/>
    <w:rsid w:val="008838FC"/>
    <w:rsid w:val="00883B2B"/>
    <w:rsid w:val="00893A43"/>
    <w:rsid w:val="00894377"/>
    <w:rsid w:val="008A2B02"/>
    <w:rsid w:val="008A48BB"/>
    <w:rsid w:val="008A7C9B"/>
    <w:rsid w:val="008D0B3D"/>
    <w:rsid w:val="008D2709"/>
    <w:rsid w:val="008D30A0"/>
    <w:rsid w:val="008D3EB2"/>
    <w:rsid w:val="008D6782"/>
    <w:rsid w:val="008F277C"/>
    <w:rsid w:val="009103B3"/>
    <w:rsid w:val="009276E9"/>
    <w:rsid w:val="0093035F"/>
    <w:rsid w:val="00931373"/>
    <w:rsid w:val="00937BC9"/>
    <w:rsid w:val="00945B92"/>
    <w:rsid w:val="00946E17"/>
    <w:rsid w:val="009476B2"/>
    <w:rsid w:val="00951751"/>
    <w:rsid w:val="009557EF"/>
    <w:rsid w:val="009606B9"/>
    <w:rsid w:val="00961AB8"/>
    <w:rsid w:val="00993810"/>
    <w:rsid w:val="009A5000"/>
    <w:rsid w:val="009A5680"/>
    <w:rsid w:val="009C3BB3"/>
    <w:rsid w:val="009E2A01"/>
    <w:rsid w:val="009E7456"/>
    <w:rsid w:val="00A06A44"/>
    <w:rsid w:val="00A0739E"/>
    <w:rsid w:val="00A12887"/>
    <w:rsid w:val="00A1448E"/>
    <w:rsid w:val="00A24B55"/>
    <w:rsid w:val="00A41F90"/>
    <w:rsid w:val="00A43454"/>
    <w:rsid w:val="00A43E2F"/>
    <w:rsid w:val="00A43FAF"/>
    <w:rsid w:val="00A457AE"/>
    <w:rsid w:val="00A460B6"/>
    <w:rsid w:val="00A754CD"/>
    <w:rsid w:val="00A809D8"/>
    <w:rsid w:val="00A81F87"/>
    <w:rsid w:val="00A82D1B"/>
    <w:rsid w:val="00A8398F"/>
    <w:rsid w:val="00A8721C"/>
    <w:rsid w:val="00A92E96"/>
    <w:rsid w:val="00AA5C90"/>
    <w:rsid w:val="00AB004C"/>
    <w:rsid w:val="00AB09CF"/>
    <w:rsid w:val="00AB3E61"/>
    <w:rsid w:val="00AB6462"/>
    <w:rsid w:val="00AE3641"/>
    <w:rsid w:val="00AE3882"/>
    <w:rsid w:val="00AE6FBA"/>
    <w:rsid w:val="00B15548"/>
    <w:rsid w:val="00B17D5F"/>
    <w:rsid w:val="00B203FB"/>
    <w:rsid w:val="00B222BC"/>
    <w:rsid w:val="00B358F9"/>
    <w:rsid w:val="00B4772F"/>
    <w:rsid w:val="00B53A8D"/>
    <w:rsid w:val="00B55C84"/>
    <w:rsid w:val="00B6699C"/>
    <w:rsid w:val="00B678FB"/>
    <w:rsid w:val="00B72C72"/>
    <w:rsid w:val="00B800E7"/>
    <w:rsid w:val="00B8666E"/>
    <w:rsid w:val="00B87FC7"/>
    <w:rsid w:val="00B90BF2"/>
    <w:rsid w:val="00BB2D6D"/>
    <w:rsid w:val="00BC119C"/>
    <w:rsid w:val="00BC434E"/>
    <w:rsid w:val="00BD490D"/>
    <w:rsid w:val="00BE377A"/>
    <w:rsid w:val="00BE798B"/>
    <w:rsid w:val="00BF2581"/>
    <w:rsid w:val="00BF6727"/>
    <w:rsid w:val="00C041FE"/>
    <w:rsid w:val="00C10F37"/>
    <w:rsid w:val="00C119AB"/>
    <w:rsid w:val="00C1450E"/>
    <w:rsid w:val="00C16E39"/>
    <w:rsid w:val="00C20302"/>
    <w:rsid w:val="00C25FA6"/>
    <w:rsid w:val="00C3107F"/>
    <w:rsid w:val="00C3237C"/>
    <w:rsid w:val="00C34512"/>
    <w:rsid w:val="00C4528F"/>
    <w:rsid w:val="00C52A2C"/>
    <w:rsid w:val="00C5353E"/>
    <w:rsid w:val="00C53EA1"/>
    <w:rsid w:val="00C56E35"/>
    <w:rsid w:val="00C758C4"/>
    <w:rsid w:val="00C974E1"/>
    <w:rsid w:val="00CA2376"/>
    <w:rsid w:val="00CC3007"/>
    <w:rsid w:val="00CC501F"/>
    <w:rsid w:val="00CD2A27"/>
    <w:rsid w:val="00CE03A9"/>
    <w:rsid w:val="00CE78E7"/>
    <w:rsid w:val="00D0439F"/>
    <w:rsid w:val="00D06007"/>
    <w:rsid w:val="00D1638E"/>
    <w:rsid w:val="00D30FAF"/>
    <w:rsid w:val="00D41AEC"/>
    <w:rsid w:val="00D46B76"/>
    <w:rsid w:val="00D50AA8"/>
    <w:rsid w:val="00D54CBF"/>
    <w:rsid w:val="00D550C2"/>
    <w:rsid w:val="00D57E15"/>
    <w:rsid w:val="00D61B63"/>
    <w:rsid w:val="00D63B86"/>
    <w:rsid w:val="00D66CA2"/>
    <w:rsid w:val="00D71AA3"/>
    <w:rsid w:val="00D72E1E"/>
    <w:rsid w:val="00D7727D"/>
    <w:rsid w:val="00DA4D01"/>
    <w:rsid w:val="00DB1157"/>
    <w:rsid w:val="00DB3253"/>
    <w:rsid w:val="00DC0C95"/>
    <w:rsid w:val="00DC2481"/>
    <w:rsid w:val="00DC4AC6"/>
    <w:rsid w:val="00DC5308"/>
    <w:rsid w:val="00DF25D2"/>
    <w:rsid w:val="00E012B7"/>
    <w:rsid w:val="00E24C07"/>
    <w:rsid w:val="00E304E8"/>
    <w:rsid w:val="00E31121"/>
    <w:rsid w:val="00E31DD0"/>
    <w:rsid w:val="00E32822"/>
    <w:rsid w:val="00E3562A"/>
    <w:rsid w:val="00E36DC0"/>
    <w:rsid w:val="00E54D67"/>
    <w:rsid w:val="00E5736C"/>
    <w:rsid w:val="00E65204"/>
    <w:rsid w:val="00E70469"/>
    <w:rsid w:val="00E72F1C"/>
    <w:rsid w:val="00E76467"/>
    <w:rsid w:val="00E8011B"/>
    <w:rsid w:val="00E824B0"/>
    <w:rsid w:val="00E83EB5"/>
    <w:rsid w:val="00EA1470"/>
    <w:rsid w:val="00EA3641"/>
    <w:rsid w:val="00EB712C"/>
    <w:rsid w:val="00EC0A9A"/>
    <w:rsid w:val="00EC51ED"/>
    <w:rsid w:val="00ED1842"/>
    <w:rsid w:val="00ED2214"/>
    <w:rsid w:val="00ED3A52"/>
    <w:rsid w:val="00ED4704"/>
    <w:rsid w:val="00EE3935"/>
    <w:rsid w:val="00EF2507"/>
    <w:rsid w:val="00EF7F6D"/>
    <w:rsid w:val="00F03AE2"/>
    <w:rsid w:val="00F0732E"/>
    <w:rsid w:val="00F14288"/>
    <w:rsid w:val="00F23194"/>
    <w:rsid w:val="00F2335C"/>
    <w:rsid w:val="00F261CE"/>
    <w:rsid w:val="00F30B62"/>
    <w:rsid w:val="00F40B82"/>
    <w:rsid w:val="00F455BE"/>
    <w:rsid w:val="00F570F3"/>
    <w:rsid w:val="00F60713"/>
    <w:rsid w:val="00F668F5"/>
    <w:rsid w:val="00F71DCF"/>
    <w:rsid w:val="00F7611F"/>
    <w:rsid w:val="00F77DAE"/>
    <w:rsid w:val="00F84B00"/>
    <w:rsid w:val="00FA0D6D"/>
    <w:rsid w:val="00FA3A9E"/>
    <w:rsid w:val="00FA5A16"/>
    <w:rsid w:val="00FB7A29"/>
    <w:rsid w:val="00FC67F2"/>
    <w:rsid w:val="00FD5A90"/>
    <w:rsid w:val="00FD7894"/>
    <w:rsid w:val="00FE479C"/>
    <w:rsid w:val="00FF3E32"/>
    <w:rsid w:val="00FF65A7"/>
    <w:rsid w:val="00FF761E"/>
    <w:rsid w:val="02631BC0"/>
    <w:rsid w:val="061990AD"/>
    <w:rsid w:val="263A24BE"/>
    <w:rsid w:val="2C80A8EC"/>
    <w:rsid w:val="381D1C88"/>
    <w:rsid w:val="3B2B6B7B"/>
    <w:rsid w:val="6B4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62ABC9"/>
  <w15:docId w15:val="{407BCFA9-358F-4249-B494-DA38D85C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paragraph" w:styleId="Textkrper-Einzug2">
    <w:name w:val="Body Text Indent 2"/>
    <w:basedOn w:val="Standard"/>
    <w:link w:val="Textkrper-Einzug2Zchn"/>
    <w:qFormat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4"/>
    </w:rPr>
  </w:style>
  <w:style w:type="paragraph" w:styleId="Sprechblasentext">
    <w:name w:val="Balloon Text"/>
    <w:basedOn w:val="Standard"/>
    <w:link w:val="SprechblasentextZchn"/>
    <w:uiPriority w:val="99"/>
    <w:unhideWhenUsed/>
    <w:qFormat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680"/>
        <w:tab w:val="right" w:pos="9360"/>
      </w:tabs>
    </w:p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680"/>
        <w:tab w:val="right" w:pos="9360"/>
      </w:tabs>
    </w:pPr>
  </w:style>
  <w:style w:type="paragraph" w:styleId="Funotentext">
    <w:name w:val="footnote text"/>
    <w:basedOn w:val="Standard"/>
    <w:link w:val="FunotentextZchn"/>
    <w:uiPriority w:val="99"/>
    <w:unhideWhenUsed/>
    <w:qFormat/>
    <w:rPr>
      <w:rFonts w:eastAsia="SimSun"/>
      <w:sz w:val="20"/>
      <w:szCs w:val="20"/>
      <w:lang w:val="en-GB" w:eastAsia="en-US"/>
    </w:r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Pr>
      <w:b/>
      <w:bC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160"/>
      <w:ind w:firstLine="360"/>
    </w:p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uiPriority w:val="99"/>
    <w:unhideWhenUsed/>
    <w:qFormat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qFormat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unhideWhenUsed/>
    <w:qFormat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unhideWhenUsed/>
    <w:qFormat/>
    <w:rPr>
      <w:vertAlign w:val="superscript"/>
    </w:rPr>
  </w:style>
  <w:style w:type="paragraph" w:customStyle="1" w:styleId="ListParagraph1">
    <w:name w:val="List Paragraph1"/>
    <w:basedOn w:val="Standard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qFormat/>
    <w:lock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Pr>
      <w:rFonts w:eastAsia="SimSun"/>
      <w:sz w:val="20"/>
      <w:szCs w:val="20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paragraph" w:customStyle="1" w:styleId="DateTime">
    <w:name w:val="Date &amp; Time"/>
    <w:basedOn w:val="Standard"/>
    <w:uiPriority w:val="3"/>
    <w:qFormat/>
    <w:pPr>
      <w:spacing w:after="300"/>
      <w:contextualSpacing/>
    </w:pPr>
    <w:rPr>
      <w:rFonts w:eastAsiaTheme="minorHAnsi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Microsoft YaHei" w:eastAsia="Microsoft YaHei" w:hAnsiTheme="minorHAnsi" w:cs="Microsoft YaHei"/>
      <w:color w:val="000000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qFormat/>
  </w:style>
  <w:style w:type="paragraph" w:customStyle="1" w:styleId="CVNORMALNORMAL">
    <w:name w:val="CV_NORMAL NORMAL"/>
    <w:basedOn w:val="Standard"/>
    <w:qFormat/>
    <w:pPr>
      <w:spacing w:after="80"/>
      <w:ind w:left="170"/>
    </w:pPr>
    <w:rPr>
      <w:rFonts w:ascii="Univers for KPMG Light" w:hAnsi="Univers for KPMG Light" w:cs="Calibri"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krper-Einzug2Zchn">
    <w:name w:val="Textkörper-Einzug 2 Zchn"/>
    <w:basedOn w:val="Absatz-Standardschriftart"/>
    <w:link w:val="Textkrper-Einzug2"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Absatz-Standardschriftart"/>
    <w:uiPriority w:val="99"/>
    <w:unhideWhenUsed/>
    <w:qFormat/>
    <w:rPr>
      <w:color w:val="605E5C"/>
      <w:shd w:val="clear" w:color="auto" w:fill="E1DFDD"/>
    </w:rPr>
  </w:style>
  <w:style w:type="paragraph" w:styleId="Listenabsatz">
    <w:name w:val="List Paragraph"/>
    <w:basedOn w:val="Standard"/>
    <w:link w:val="ListenabsatzZchn"/>
    <w:uiPriority w:val="34"/>
    <w:unhideWhenUsed/>
    <w:qFormat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Standard"/>
    <w:pPr>
      <w:spacing w:after="0" w:line="240" w:lineRule="auto"/>
    </w:pPr>
    <w:rPr>
      <w:rFonts w:ascii="Calibri" w:hAnsi="Calibri" w:cs="Calibri"/>
    </w:rPr>
  </w:style>
  <w:style w:type="character" w:customStyle="1" w:styleId="ListenabsatzZchn">
    <w:name w:val="Listenabsatz Zchn"/>
    <w:link w:val="Listenabsatz"/>
    <w:uiPriority w:val="34"/>
    <w:qFormat/>
    <w:locked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4">
    <w:name w:val="Table Grid4"/>
    <w:basedOn w:val="NormaleTabelle"/>
    <w:next w:val="Tabellenraster"/>
    <w:uiPriority w:val="59"/>
    <w:qFormat/>
    <w:rsid w:val="005E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2254D973CE949AEBAE61C70259553" ma:contentTypeVersion="14" ma:contentTypeDescription="Create a new document." ma:contentTypeScope="" ma:versionID="196b7ee9cbf700c54f61e7b8e13fffd9">
  <xsd:schema xmlns:xsd="http://www.w3.org/2001/XMLSchema" xmlns:xs="http://www.w3.org/2001/XMLSchema" xmlns:p="http://schemas.microsoft.com/office/2006/metadata/properties" xmlns:ns2="7b686276-176f-4328-a301-c18a662b4ea3" xmlns:ns3="c59657e0-e81d-4319-b15d-cb26b7c5798a" targetNamespace="http://schemas.microsoft.com/office/2006/metadata/properties" ma:root="true" ma:fieldsID="714fb9b5d77893b1b0f0625a2da5b258" ns2:_="" ns3:_="">
    <xsd:import namespace="7b686276-176f-4328-a301-c18a662b4ea3"/>
    <xsd:import namespace="c59657e0-e81d-4319-b15d-cb26b7c57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86276-176f-4328-a301-c18a662b4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57e0-e81d-4319-b15d-cb26b7c57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a41d95-0ef1-4db3-9613-760ce7e7042e}" ma:internalName="TaxCatchAll" ma:showField="CatchAllData" ma:web="c59657e0-e81d-4319-b15d-cb26b7c57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86276-176f-4328-a301-c18a662b4ea3">
      <Terms xmlns="http://schemas.microsoft.com/office/infopath/2007/PartnerControls"/>
    </lcf76f155ced4ddcb4097134ff3c332f>
    <TaxCatchAll xmlns="c59657e0-e81d-4319-b15d-cb26b7c5798a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0DA2-0DD4-4068-95B2-ECC831962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86276-176f-4328-a301-c18a662b4ea3"/>
    <ds:schemaRef ds:uri="c59657e0-e81d-4319-b15d-cb26b7c57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E07C1-5906-49D7-81D2-620E3BCD6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B022-DF9E-4DE8-9177-2EBB4E08EBFB}">
  <ds:schemaRefs>
    <ds:schemaRef ds:uri="http://schemas.microsoft.com/office/2006/metadata/properties"/>
    <ds:schemaRef ds:uri="http://schemas.microsoft.com/office/infopath/2007/PartnerControls"/>
    <ds:schemaRef ds:uri="7b686276-176f-4328-a301-c18a662b4ea3"/>
    <ds:schemaRef ds:uri="c59657e0-e81d-4319-b15d-cb26b7c5798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F423E24-8D5B-40C1-A2BA-93A1D971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Ren, Yingying GIZ CN</dc:creator>
  <cp:lastModifiedBy>Loechel, Horst</cp:lastModifiedBy>
  <cp:revision>80</cp:revision>
  <cp:lastPrinted>2023-11-22T13:21:00Z</cp:lastPrinted>
  <dcterms:created xsi:type="dcterms:W3CDTF">2023-11-20T13:15:00Z</dcterms:created>
  <dcterms:modified xsi:type="dcterms:W3CDTF">2024-10-28T12:14:00Z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5e068e0fd72227370edcf2f2d2a4ccb2b0183d488fd9038589a5421037f69bc5</vt:lpwstr>
  </property>
  <property fmtid="{D5CDD505-2E9C-101B-9397-08002B2CF9AE}" pid="3" name="KSOProductBuildVer">
    <vt:lpwstr>2052-12.1.0.15374</vt:lpwstr>
  </property>
  <property fmtid="{D5CDD505-2E9C-101B-9397-08002B2CF9AE}" pid="4" name="ICV">
    <vt:lpwstr>405F9814CBD7463397D82A2C1FBDC6C7_13</vt:lpwstr>
  </property>
  <property fmtid="{D5CDD505-2E9C-101B-9397-08002B2CF9AE}" pid="5" name="ContentTypeId">
    <vt:lpwstr>0x0101009EB2254D973CE949AEBAE61C70259553</vt:lpwstr>
  </property>
  <property fmtid="{D5CDD505-2E9C-101B-9397-08002B2CF9AE}" pid="6" name="MediaServiceImageTags">
    <vt:lpwstr/>
  </property>
</Properties>
</file>